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2" w:rsidRPr="00C44325" w:rsidRDefault="00E76222" w:rsidP="00E762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4325">
        <w:rPr>
          <w:rFonts w:ascii="Arial" w:hAnsi="Arial" w:cs="Arial"/>
          <w:b/>
          <w:bCs/>
          <w:sz w:val="20"/>
          <w:szCs w:val="20"/>
          <w:u w:val="single"/>
        </w:rPr>
        <w:t>INFORME TÉCNICO N° 001-2018-IIEE.XXXXX/UGEL.T.</w:t>
      </w:r>
    </w:p>
    <w:p w:rsidR="00356C8D" w:rsidRPr="007B0C62" w:rsidRDefault="00356C8D" w:rsidP="00E7622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6222" w:rsidRPr="00C44325" w:rsidRDefault="00E76222" w:rsidP="00E76222">
      <w:pPr>
        <w:pStyle w:val="Ttulo1"/>
        <w:rPr>
          <w:sz w:val="20"/>
          <w:szCs w:val="20"/>
        </w:rPr>
      </w:pPr>
      <w:r w:rsidRPr="00C44325">
        <w:rPr>
          <w:sz w:val="20"/>
          <w:szCs w:val="20"/>
        </w:rPr>
        <w:t xml:space="preserve">DATOS GENERALES </w:t>
      </w:r>
    </w:p>
    <w:p w:rsidR="00E76222" w:rsidRPr="007B0C62" w:rsidRDefault="00E76222" w:rsidP="00E76222">
      <w:pPr>
        <w:rPr>
          <w:rFonts w:ascii="Arial" w:hAnsi="Arial" w:cs="Arial"/>
          <w:b/>
          <w:sz w:val="20"/>
          <w:szCs w:val="20"/>
          <w:u w:val="single"/>
        </w:rPr>
      </w:pPr>
    </w:p>
    <w:p w:rsidR="00E76222" w:rsidRPr="007B0C62" w:rsidRDefault="00E76222" w:rsidP="007B0C62">
      <w:pPr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  <w:r w:rsidRPr="007B0C62">
        <w:rPr>
          <w:rFonts w:ascii="Arial" w:hAnsi="Arial" w:cs="Arial"/>
          <w:b/>
          <w:bCs/>
          <w:sz w:val="20"/>
          <w:szCs w:val="20"/>
        </w:rPr>
        <w:t>NOMBRE DE LA ENTIDAD</w:t>
      </w:r>
      <w:r w:rsidR="007B0C6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E76222" w:rsidRPr="007B0C62" w:rsidRDefault="00E76222" w:rsidP="007B0C62">
      <w:pPr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  <w:r w:rsidRPr="007B0C62">
        <w:rPr>
          <w:rFonts w:ascii="Arial" w:hAnsi="Arial" w:cs="Arial"/>
          <w:b/>
          <w:bCs/>
          <w:sz w:val="20"/>
          <w:szCs w:val="20"/>
        </w:rPr>
        <w:t>DIRECCION</w:t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E76222" w:rsidRPr="007B0C62" w:rsidRDefault="00E76222" w:rsidP="007B0C62">
      <w:pPr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  <w:r w:rsidRPr="007B0C62">
        <w:rPr>
          <w:rFonts w:ascii="Arial" w:hAnsi="Arial" w:cs="Arial"/>
          <w:b/>
          <w:bCs/>
          <w:sz w:val="20"/>
          <w:szCs w:val="20"/>
        </w:rPr>
        <w:t>UBICACIÓN</w:t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E76222" w:rsidRPr="007B0C62" w:rsidRDefault="00E76222" w:rsidP="007B0C62">
      <w:pPr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  <w:r w:rsidRPr="007B0C62">
        <w:rPr>
          <w:rFonts w:ascii="Arial" w:hAnsi="Arial" w:cs="Arial"/>
          <w:b/>
          <w:bCs/>
          <w:sz w:val="20"/>
          <w:szCs w:val="20"/>
        </w:rPr>
        <w:t>ASUNTO</w:t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E76222" w:rsidRPr="007B0C62" w:rsidRDefault="00E76222" w:rsidP="007B0C62">
      <w:pPr>
        <w:spacing w:after="0"/>
        <w:ind w:left="709"/>
        <w:rPr>
          <w:rFonts w:ascii="Arial" w:hAnsi="Arial" w:cs="Arial"/>
          <w:b/>
          <w:bCs/>
          <w:sz w:val="20"/>
          <w:szCs w:val="20"/>
        </w:rPr>
      </w:pPr>
      <w:r w:rsidRPr="007B0C62">
        <w:rPr>
          <w:rFonts w:ascii="Arial" w:hAnsi="Arial" w:cs="Arial"/>
          <w:b/>
          <w:bCs/>
          <w:sz w:val="20"/>
          <w:szCs w:val="20"/>
        </w:rPr>
        <w:t>FECHA</w:t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</w:r>
      <w:r w:rsidR="007B0C6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E76222" w:rsidRPr="007B0C62" w:rsidRDefault="00E76222" w:rsidP="00E76222">
      <w:pPr>
        <w:pStyle w:val="Default"/>
        <w:rPr>
          <w:sz w:val="20"/>
          <w:szCs w:val="20"/>
        </w:rPr>
      </w:pPr>
    </w:p>
    <w:p w:rsidR="00E76222" w:rsidRPr="007B0C62" w:rsidRDefault="00E76222" w:rsidP="00E7622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BASE LEGAL </w:t>
      </w:r>
    </w:p>
    <w:p w:rsidR="00E76222" w:rsidRPr="007B0C62" w:rsidRDefault="00E76222" w:rsidP="00E76222">
      <w:pPr>
        <w:rPr>
          <w:rFonts w:ascii="Arial" w:hAnsi="Arial" w:cs="Arial"/>
          <w:b/>
          <w:sz w:val="20"/>
          <w:szCs w:val="20"/>
          <w:u w:val="single"/>
        </w:rPr>
      </w:pPr>
    </w:p>
    <w:p w:rsidR="00E76222" w:rsidRPr="007B0C62" w:rsidRDefault="00E76222" w:rsidP="00E76222">
      <w:pPr>
        <w:pStyle w:val="Prrafodelista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C62">
        <w:rPr>
          <w:rFonts w:ascii="Arial" w:hAnsi="Arial" w:cs="Arial"/>
          <w:sz w:val="20"/>
          <w:szCs w:val="20"/>
        </w:rPr>
        <w:t>R.M. Nº 543-2013-ED y su modificatoria R.M. Nº 645-2016-MINEDU, que establece las “Normas y procedimientos para la gestión del proceso de distribución de materiales y recursos educativos para las Instituciones y Programas Educativos públicos y centros de recursos educativos”.</w:t>
      </w:r>
    </w:p>
    <w:p w:rsidR="00E76222" w:rsidRPr="007B0C62" w:rsidRDefault="00E76222" w:rsidP="00E76222">
      <w:pPr>
        <w:pStyle w:val="Prrafodelista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C62">
        <w:rPr>
          <w:rFonts w:ascii="Arial" w:hAnsi="Arial" w:cs="Arial"/>
          <w:sz w:val="20"/>
          <w:szCs w:val="20"/>
        </w:rPr>
        <w:t>R.M. Nº 321-2017-MINEDU, y su modificatoria R.M. Nº 396-2018-MINEDU, donde en el Art. 18 autoriza a los directores de las IIEE conformar 4 comisiones, entre ellas la “Comisión de Gestión de recursos educativos y mantenimiento de infraestructura” y en el Anexo1, apartado 2, se establecen las funciones de dicha comisión.</w:t>
      </w:r>
    </w:p>
    <w:p w:rsidR="00E76222" w:rsidRPr="007B0C62" w:rsidRDefault="00E76222" w:rsidP="00E76222">
      <w:pPr>
        <w:pStyle w:val="Prrafodelista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C62">
        <w:rPr>
          <w:rFonts w:ascii="Arial" w:hAnsi="Arial" w:cs="Arial"/>
          <w:sz w:val="20"/>
          <w:szCs w:val="20"/>
        </w:rPr>
        <w:t xml:space="preserve">R.M. 401-2008-ED, aprueba las “Normas y </w:t>
      </w:r>
      <w:bookmarkStart w:id="0" w:name="_GoBack"/>
      <w:bookmarkEnd w:id="0"/>
      <w:r w:rsidRPr="007B0C62">
        <w:rPr>
          <w:rFonts w:ascii="Arial" w:hAnsi="Arial" w:cs="Arial"/>
          <w:sz w:val="20"/>
          <w:szCs w:val="20"/>
        </w:rPr>
        <w:t xml:space="preserve">Procedimientos para la Gestión del Banco del Libro de Educación Básica Regular" y "Normas y procedimientos para la Baja de Patrimonio Bibliográfico perteneciente al Banco del Libro de Educación Básica Regular". </w:t>
      </w:r>
    </w:p>
    <w:p w:rsidR="00E76222" w:rsidRPr="007B0C62" w:rsidRDefault="00E76222" w:rsidP="00E76222">
      <w:pPr>
        <w:pStyle w:val="Prrafodelista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C62">
        <w:rPr>
          <w:rFonts w:ascii="Arial" w:hAnsi="Arial" w:cs="Arial"/>
          <w:sz w:val="20"/>
          <w:szCs w:val="20"/>
        </w:rPr>
        <w:t>R.J. N° 335-90-INAP/DNA que establece el “Manual de Administración de Almacenes para el Sector Público Nacional”.</w:t>
      </w:r>
    </w:p>
    <w:p w:rsidR="007B0C62" w:rsidRPr="007B0C62" w:rsidRDefault="007B0C62" w:rsidP="007B0C6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ANTECEDENTES </w:t>
      </w:r>
    </w:p>
    <w:p w:rsidR="001C7A63" w:rsidRDefault="003E7240" w:rsidP="003E7240">
      <w:pPr>
        <w:tabs>
          <w:tab w:val="left" w:pos="1209"/>
        </w:tabs>
        <w:spacing w:after="0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C7A63" w:rsidRPr="001C7A63" w:rsidRDefault="001C7A63" w:rsidP="00AD6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/>
        <w:jc w:val="both"/>
        <w:rPr>
          <w:rFonts w:ascii="Arial" w:hAnsi="Arial" w:cs="Arial"/>
          <w:i/>
          <w:sz w:val="20"/>
          <w:szCs w:val="20"/>
        </w:rPr>
      </w:pPr>
      <w:r w:rsidRPr="001C7A63">
        <w:rPr>
          <w:rFonts w:ascii="Arial" w:hAnsi="Arial" w:cs="Arial"/>
          <w:i/>
          <w:sz w:val="20"/>
          <w:szCs w:val="20"/>
        </w:rPr>
        <w:t>Todas aquellas</w:t>
      </w:r>
      <w:r w:rsidR="007B0C62" w:rsidRPr="001C7A63">
        <w:rPr>
          <w:rFonts w:ascii="Arial" w:hAnsi="Arial" w:cs="Arial"/>
          <w:i/>
          <w:sz w:val="20"/>
          <w:szCs w:val="20"/>
        </w:rPr>
        <w:t xml:space="preserve"> circunstancias que rodean </w:t>
      </w:r>
      <w:r w:rsidRPr="001C7A63">
        <w:rPr>
          <w:rFonts w:ascii="Arial" w:hAnsi="Arial" w:cs="Arial"/>
          <w:i/>
          <w:sz w:val="20"/>
          <w:szCs w:val="20"/>
        </w:rPr>
        <w:t>al trabajo de</w:t>
      </w:r>
      <w:r w:rsidR="007B0C62" w:rsidRPr="001C7A63">
        <w:rPr>
          <w:rFonts w:ascii="Arial" w:hAnsi="Arial" w:cs="Arial"/>
          <w:i/>
          <w:sz w:val="20"/>
          <w:szCs w:val="20"/>
        </w:rPr>
        <w:t xml:space="preserve"> baja del patrimonio bibliográfico y recursos educativos, </w:t>
      </w:r>
      <w:r w:rsidRPr="001C7A63">
        <w:rPr>
          <w:rFonts w:ascii="Arial" w:hAnsi="Arial" w:cs="Arial"/>
          <w:i/>
          <w:sz w:val="20"/>
          <w:szCs w:val="20"/>
        </w:rPr>
        <w:t xml:space="preserve">donde se realiza el </w:t>
      </w:r>
      <w:r w:rsidR="007B0C62" w:rsidRPr="001C7A63">
        <w:rPr>
          <w:rFonts w:ascii="Arial" w:hAnsi="Arial" w:cs="Arial"/>
          <w:i/>
          <w:sz w:val="20"/>
          <w:szCs w:val="20"/>
        </w:rPr>
        <w:t xml:space="preserve">análisis de documentos fuente, </w:t>
      </w:r>
      <w:r w:rsidRPr="001C7A63">
        <w:rPr>
          <w:rFonts w:ascii="Arial" w:hAnsi="Arial" w:cs="Arial"/>
          <w:i/>
          <w:sz w:val="20"/>
          <w:szCs w:val="20"/>
        </w:rPr>
        <w:t>explicando el problema, detalle de las acciones realizadas por la institución respecto al trabajo para dar de baja, puntualizar la finalidad y beneficio de la realización del procedimiento de baja. Adicionalmente se puede incluir información adicional sobre la institución educativa.</w:t>
      </w:r>
    </w:p>
    <w:p w:rsidR="007B0C62" w:rsidRPr="007B0C62" w:rsidRDefault="007B0C62" w:rsidP="007B0C6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DOCUMENTACIÓN QUE SE ADJUNTA </w:t>
      </w:r>
    </w:p>
    <w:p w:rsidR="007B0C62" w:rsidRPr="007B0C62" w:rsidRDefault="007B0C62" w:rsidP="007B0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B0C62" w:rsidRPr="007B0C62" w:rsidRDefault="007B0C62" w:rsidP="00BE6DC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B0C62">
        <w:rPr>
          <w:rFonts w:ascii="Arial" w:hAnsi="Arial" w:cs="Arial"/>
          <w:color w:val="000000"/>
          <w:sz w:val="20"/>
          <w:szCs w:val="20"/>
        </w:rPr>
        <w:t xml:space="preserve">Resolución Directoral N° </w:t>
      </w:r>
      <w:r w:rsidR="0047284C">
        <w:rPr>
          <w:rFonts w:ascii="Arial" w:hAnsi="Arial" w:cs="Arial"/>
          <w:color w:val="000000"/>
          <w:sz w:val="20"/>
          <w:szCs w:val="20"/>
        </w:rPr>
        <w:t>XXXXX</w:t>
      </w:r>
      <w:r w:rsidRPr="007B0C62">
        <w:rPr>
          <w:rFonts w:ascii="Arial" w:hAnsi="Arial" w:cs="Arial"/>
          <w:color w:val="000000"/>
          <w:sz w:val="20"/>
          <w:szCs w:val="20"/>
        </w:rPr>
        <w:t>- 201</w:t>
      </w:r>
      <w:r w:rsidR="0047284C">
        <w:rPr>
          <w:rFonts w:ascii="Arial" w:hAnsi="Arial" w:cs="Arial"/>
          <w:color w:val="000000"/>
          <w:sz w:val="20"/>
          <w:szCs w:val="20"/>
        </w:rPr>
        <w:t>X</w:t>
      </w:r>
      <w:r w:rsidRPr="007B0C62">
        <w:rPr>
          <w:rFonts w:ascii="Arial" w:hAnsi="Arial" w:cs="Arial"/>
          <w:color w:val="000000"/>
          <w:sz w:val="20"/>
          <w:szCs w:val="20"/>
        </w:rPr>
        <w:t xml:space="preserve">. Que aprueba </w:t>
      </w:r>
      <w:r w:rsidR="0047284C">
        <w:rPr>
          <w:rFonts w:ascii="Arial" w:hAnsi="Arial" w:cs="Arial"/>
          <w:color w:val="000000"/>
          <w:sz w:val="20"/>
          <w:szCs w:val="20"/>
        </w:rPr>
        <w:t xml:space="preserve">la conformación </w:t>
      </w:r>
      <w:r w:rsidRPr="007B0C62">
        <w:rPr>
          <w:rFonts w:ascii="Arial" w:hAnsi="Arial" w:cs="Arial"/>
          <w:color w:val="000000"/>
          <w:sz w:val="20"/>
          <w:szCs w:val="20"/>
        </w:rPr>
        <w:t xml:space="preserve"> </w:t>
      </w:r>
      <w:r w:rsidR="0047284C">
        <w:rPr>
          <w:rFonts w:ascii="Arial" w:hAnsi="Arial" w:cs="Arial"/>
          <w:color w:val="000000"/>
          <w:sz w:val="20"/>
          <w:szCs w:val="20"/>
        </w:rPr>
        <w:t>dela Comisión de Gestión de Recursos Educativos y mantenimiento de infraestructura.</w:t>
      </w:r>
    </w:p>
    <w:p w:rsidR="007B0C62" w:rsidRPr="007B0C62" w:rsidRDefault="007B0C62" w:rsidP="00BE6DC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7B0C62">
        <w:rPr>
          <w:rFonts w:ascii="Arial" w:hAnsi="Arial" w:cs="Arial"/>
          <w:color w:val="000000"/>
          <w:sz w:val="20"/>
          <w:szCs w:val="20"/>
        </w:rPr>
        <w:t xml:space="preserve">Inventario Físico de material impreso, concreto-manipulativo </w:t>
      </w:r>
      <w:r w:rsidR="00BE6DC5">
        <w:rPr>
          <w:rFonts w:ascii="Arial" w:hAnsi="Arial" w:cs="Arial"/>
          <w:color w:val="000000"/>
          <w:sz w:val="20"/>
          <w:szCs w:val="20"/>
        </w:rPr>
        <w:t>en instalaciones de la Institución Educativa</w:t>
      </w:r>
      <w:r w:rsidRPr="007B0C62">
        <w:rPr>
          <w:rFonts w:ascii="Arial" w:hAnsi="Arial" w:cs="Arial"/>
          <w:color w:val="000000"/>
          <w:sz w:val="20"/>
          <w:szCs w:val="20"/>
        </w:rPr>
        <w:t xml:space="preserve">, previamente </w:t>
      </w:r>
      <w:r w:rsidR="00BE6DC5" w:rsidRPr="007B0C62">
        <w:rPr>
          <w:rFonts w:ascii="Arial" w:hAnsi="Arial" w:cs="Arial"/>
          <w:color w:val="000000"/>
          <w:sz w:val="20"/>
          <w:szCs w:val="20"/>
        </w:rPr>
        <w:t>identificado</w:t>
      </w:r>
      <w:r w:rsidR="00BE6DC5">
        <w:rPr>
          <w:rFonts w:ascii="Arial" w:hAnsi="Arial" w:cs="Arial"/>
          <w:color w:val="000000"/>
          <w:sz w:val="20"/>
          <w:szCs w:val="20"/>
        </w:rPr>
        <w:t>, codificado</w:t>
      </w:r>
      <w:r w:rsidR="00BE6DC5" w:rsidRPr="007B0C62">
        <w:rPr>
          <w:rFonts w:ascii="Arial" w:hAnsi="Arial" w:cs="Arial"/>
          <w:color w:val="000000"/>
          <w:sz w:val="20"/>
          <w:szCs w:val="20"/>
        </w:rPr>
        <w:t xml:space="preserve"> y clasificado</w:t>
      </w:r>
      <w:r w:rsidRPr="007B0C62">
        <w:rPr>
          <w:rFonts w:ascii="Arial" w:hAnsi="Arial" w:cs="Arial"/>
          <w:color w:val="000000"/>
          <w:sz w:val="20"/>
          <w:szCs w:val="20"/>
        </w:rPr>
        <w:t xml:space="preserve"> para</w:t>
      </w:r>
      <w:r w:rsidR="00BE6DC5">
        <w:rPr>
          <w:rFonts w:ascii="Arial" w:hAnsi="Arial" w:cs="Arial"/>
          <w:color w:val="000000"/>
          <w:sz w:val="20"/>
          <w:szCs w:val="20"/>
        </w:rPr>
        <w:t xml:space="preserve"> la</w:t>
      </w:r>
      <w:r w:rsidRPr="007B0C62">
        <w:rPr>
          <w:rFonts w:ascii="Arial" w:hAnsi="Arial" w:cs="Arial"/>
          <w:color w:val="000000"/>
          <w:sz w:val="20"/>
          <w:szCs w:val="20"/>
        </w:rPr>
        <w:t xml:space="preserve"> baja según normas vigentes. </w:t>
      </w:r>
    </w:p>
    <w:p w:rsidR="00BE6DC5" w:rsidRDefault="00BE6DC5" w:rsidP="00BE6DC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E6DC5">
        <w:rPr>
          <w:rFonts w:ascii="Arial" w:hAnsi="Arial" w:cs="Arial"/>
          <w:color w:val="000000"/>
          <w:sz w:val="20"/>
          <w:szCs w:val="20"/>
        </w:rPr>
        <w:t>Documentos sustentatorio de la procedencia de los bienes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B0C62" w:rsidRPr="00BE6DC5" w:rsidRDefault="007B0C62" w:rsidP="00BE6DC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BE6DC5">
        <w:rPr>
          <w:rFonts w:ascii="Arial" w:hAnsi="Arial" w:cs="Arial"/>
          <w:color w:val="000000"/>
          <w:sz w:val="20"/>
          <w:szCs w:val="20"/>
        </w:rPr>
        <w:t>Fotos de evidencia de Identificación y clasif</w:t>
      </w:r>
      <w:r w:rsidR="00BE6DC5">
        <w:rPr>
          <w:rFonts w:ascii="Arial" w:hAnsi="Arial" w:cs="Arial"/>
          <w:color w:val="000000"/>
          <w:sz w:val="20"/>
          <w:szCs w:val="20"/>
        </w:rPr>
        <w:t>icación de materiales para baja.</w:t>
      </w:r>
    </w:p>
    <w:p w:rsidR="001A53EC" w:rsidRPr="007B0C62" w:rsidRDefault="001A53EC">
      <w:pPr>
        <w:rPr>
          <w:rFonts w:ascii="Arial" w:hAnsi="Arial" w:cs="Arial"/>
          <w:sz w:val="20"/>
          <w:szCs w:val="20"/>
        </w:rPr>
      </w:pPr>
    </w:p>
    <w:p w:rsidR="007B0C62" w:rsidRPr="007B0C62" w:rsidRDefault="007B0C62" w:rsidP="007B0C6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DESCRIPCIÓN DE LOS MATERIALES EDUCATIVOS A DAR DE BAJA </w:t>
      </w:r>
    </w:p>
    <w:p w:rsidR="007B0C62" w:rsidRPr="007B0C62" w:rsidRDefault="007B0C62" w:rsidP="00BE6DC5">
      <w:pPr>
        <w:spacing w:after="0"/>
        <w:rPr>
          <w:rFonts w:ascii="Arial" w:hAnsi="Arial" w:cs="Arial"/>
          <w:sz w:val="20"/>
          <w:szCs w:val="20"/>
        </w:rPr>
      </w:pPr>
    </w:p>
    <w:p w:rsidR="007B0C62" w:rsidRPr="007B0C62" w:rsidRDefault="007B0C62" w:rsidP="00BE6DC5">
      <w:pPr>
        <w:ind w:left="709"/>
        <w:jc w:val="both"/>
        <w:rPr>
          <w:rFonts w:ascii="Arial" w:hAnsi="Arial" w:cs="Arial"/>
          <w:sz w:val="20"/>
          <w:szCs w:val="20"/>
        </w:rPr>
      </w:pPr>
      <w:r w:rsidRPr="007B0C62">
        <w:rPr>
          <w:rFonts w:ascii="Arial" w:hAnsi="Arial" w:cs="Arial"/>
          <w:sz w:val="20"/>
          <w:szCs w:val="20"/>
        </w:rPr>
        <w:t>Los materiales identificados y clasificados para la baja se encuentran detallados en el anexo que se adjunta al presente informe.</w:t>
      </w:r>
    </w:p>
    <w:p w:rsidR="007B0C62" w:rsidRPr="007B0C62" w:rsidRDefault="007B0C62" w:rsidP="007B0C62">
      <w:pPr>
        <w:pStyle w:val="Default"/>
        <w:rPr>
          <w:sz w:val="20"/>
          <w:szCs w:val="20"/>
        </w:rPr>
      </w:pPr>
    </w:p>
    <w:p w:rsidR="007B0C62" w:rsidRPr="007B0C62" w:rsidRDefault="007B0C62" w:rsidP="007B0C6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ANÁLISIS Y EVALUACIÓN </w:t>
      </w:r>
    </w:p>
    <w:p w:rsidR="007B0C62" w:rsidRDefault="007B0C62" w:rsidP="003E7240">
      <w:pPr>
        <w:ind w:left="708"/>
        <w:rPr>
          <w:rFonts w:ascii="Arial" w:hAnsi="Arial" w:cs="Arial"/>
          <w:sz w:val="20"/>
          <w:szCs w:val="20"/>
        </w:rPr>
      </w:pPr>
    </w:p>
    <w:p w:rsidR="003E7240" w:rsidRPr="00AD6A9F" w:rsidRDefault="00990ADA" w:rsidP="00AD6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/>
        <w:jc w:val="both"/>
        <w:rPr>
          <w:rFonts w:ascii="Arial" w:hAnsi="Arial" w:cs="Arial"/>
          <w:i/>
          <w:sz w:val="20"/>
          <w:szCs w:val="20"/>
        </w:rPr>
      </w:pPr>
      <w:r w:rsidRPr="00AD6A9F">
        <w:rPr>
          <w:rFonts w:ascii="Arial" w:hAnsi="Arial" w:cs="Arial"/>
          <w:i/>
          <w:sz w:val="20"/>
          <w:szCs w:val="20"/>
        </w:rPr>
        <w:t xml:space="preserve">Se realizará el análisis de los antecedentes, la documentación que se adjunta, la relación de materiales educativos a dar de baja y serán  </w:t>
      </w:r>
      <w:r w:rsidR="00417971" w:rsidRPr="00AD6A9F">
        <w:rPr>
          <w:rFonts w:ascii="Arial" w:hAnsi="Arial" w:cs="Arial"/>
          <w:i/>
          <w:sz w:val="20"/>
          <w:szCs w:val="20"/>
        </w:rPr>
        <w:t>contrastados</w:t>
      </w:r>
      <w:r w:rsidRPr="00AD6A9F">
        <w:rPr>
          <w:rFonts w:ascii="Arial" w:hAnsi="Arial" w:cs="Arial"/>
          <w:i/>
          <w:sz w:val="20"/>
          <w:szCs w:val="20"/>
        </w:rPr>
        <w:t xml:space="preserve"> con la normativa vigente</w:t>
      </w:r>
      <w:r w:rsidR="00417971" w:rsidRPr="00AD6A9F">
        <w:rPr>
          <w:rFonts w:ascii="Arial" w:hAnsi="Arial" w:cs="Arial"/>
          <w:i/>
          <w:sz w:val="20"/>
          <w:szCs w:val="20"/>
        </w:rPr>
        <w:t xml:space="preserve">, logrando determinar </w:t>
      </w:r>
    </w:p>
    <w:p w:rsidR="007B0C62" w:rsidRPr="007B0C62" w:rsidRDefault="007B0C62" w:rsidP="007B0C62">
      <w:pPr>
        <w:pStyle w:val="Default"/>
        <w:rPr>
          <w:sz w:val="20"/>
          <w:szCs w:val="20"/>
        </w:rPr>
      </w:pPr>
    </w:p>
    <w:p w:rsidR="007B0C62" w:rsidRPr="007B0C62" w:rsidRDefault="007B0C62" w:rsidP="007B0C62">
      <w:pPr>
        <w:pStyle w:val="Ttulo1"/>
        <w:rPr>
          <w:sz w:val="20"/>
          <w:szCs w:val="20"/>
        </w:rPr>
      </w:pPr>
      <w:r w:rsidRPr="007B0C62">
        <w:rPr>
          <w:sz w:val="20"/>
          <w:szCs w:val="20"/>
        </w:rPr>
        <w:t xml:space="preserve">CONCLUSIONES Y RECOMENDACIONES </w:t>
      </w:r>
    </w:p>
    <w:p w:rsidR="007B0C62" w:rsidRDefault="007B0C62">
      <w:pPr>
        <w:rPr>
          <w:rFonts w:ascii="Arial" w:hAnsi="Arial" w:cs="Arial"/>
          <w:sz w:val="20"/>
          <w:szCs w:val="20"/>
        </w:rPr>
      </w:pPr>
    </w:p>
    <w:p w:rsidR="00AD6A9F" w:rsidRDefault="00AD6A9F" w:rsidP="0047284C">
      <w:pPr>
        <w:pStyle w:val="Prrafodelista"/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determina la cantidad de…….. unidades de diversos bienes bibliográficos y educativos pertenecientes, valorizados por un monto de S/. ….. , </w:t>
      </w:r>
      <w:r w:rsidR="00356C8D">
        <w:rPr>
          <w:rFonts w:ascii="Arial" w:hAnsi="Arial" w:cs="Arial"/>
          <w:sz w:val="20"/>
          <w:szCs w:val="20"/>
        </w:rPr>
        <w:t>que se</w:t>
      </w:r>
      <w:r>
        <w:rPr>
          <w:rFonts w:ascii="Arial" w:hAnsi="Arial" w:cs="Arial"/>
          <w:sz w:val="20"/>
          <w:szCs w:val="20"/>
        </w:rPr>
        <w:t xml:space="preserve"> propone</w:t>
      </w:r>
      <w:r w:rsidR="00356C8D">
        <w:rPr>
          <w:rFonts w:ascii="Arial" w:hAnsi="Arial" w:cs="Arial"/>
          <w:sz w:val="20"/>
          <w:szCs w:val="20"/>
        </w:rPr>
        <w:t>n para</w:t>
      </w:r>
      <w:r>
        <w:rPr>
          <w:rFonts w:ascii="Arial" w:hAnsi="Arial" w:cs="Arial"/>
          <w:sz w:val="20"/>
          <w:szCs w:val="20"/>
        </w:rPr>
        <w:t xml:space="preserve"> la baja por la causal </w:t>
      </w:r>
      <w:r w:rsidR="0047284C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AD6A9F" w:rsidRDefault="00AD6A9F" w:rsidP="00AD6A9F">
      <w:pPr>
        <w:pStyle w:val="Prrafodelista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7B0C62" w:rsidRDefault="00AD6A9F" w:rsidP="00AD6A9F">
      <w:pPr>
        <w:pStyle w:val="Prrafodelista"/>
        <w:numPr>
          <w:ilvl w:val="0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D6A9F">
        <w:rPr>
          <w:rFonts w:ascii="Arial" w:hAnsi="Arial" w:cs="Arial"/>
          <w:sz w:val="20"/>
          <w:szCs w:val="20"/>
        </w:rPr>
        <w:t>Elevar el presente informe a Dirección de la Unidad de Gestión Educativa Local Tacan, para su revisión y aprobación, con la finalidad de autorizar la baja mediante Acto Resolutivo y en consecuencia su redistribución del material educativo detallado en los anexos, teniendo en cuenta el destino del material a las Instituciones detalladas en el Anexos adjuntados al presente informe. Estas acciones se dan en estricto cumplimiento a las normas vigentes anteriormente mencionadas</w:t>
      </w:r>
    </w:p>
    <w:p w:rsidR="00AD6A9F" w:rsidRDefault="00AD6A9F" w:rsidP="00AD6A9F">
      <w:pPr>
        <w:spacing w:line="276" w:lineRule="auto"/>
        <w:ind w:left="774"/>
        <w:jc w:val="both"/>
        <w:rPr>
          <w:rFonts w:ascii="Arial" w:hAnsi="Arial" w:cs="Arial"/>
          <w:sz w:val="20"/>
          <w:szCs w:val="20"/>
        </w:rPr>
      </w:pPr>
    </w:p>
    <w:p w:rsidR="00AD6A9F" w:rsidRPr="00AD6A9F" w:rsidRDefault="00AD6A9F" w:rsidP="00AD6A9F">
      <w:pPr>
        <w:pStyle w:val="Ttulo1"/>
        <w:rPr>
          <w:sz w:val="20"/>
          <w:szCs w:val="20"/>
        </w:rPr>
      </w:pPr>
      <w:r>
        <w:rPr>
          <w:sz w:val="20"/>
          <w:szCs w:val="20"/>
        </w:rPr>
        <w:t>ANEXOS</w:t>
      </w:r>
    </w:p>
    <w:p w:rsidR="007B0C62" w:rsidRPr="007B0C62" w:rsidRDefault="007B0C62">
      <w:pPr>
        <w:rPr>
          <w:rFonts w:ascii="Arial" w:hAnsi="Arial" w:cs="Arial"/>
          <w:sz w:val="20"/>
          <w:szCs w:val="20"/>
        </w:rPr>
      </w:pPr>
    </w:p>
    <w:sectPr w:rsidR="007B0C62" w:rsidRPr="007B0C62" w:rsidSect="00C44325">
      <w:headerReference w:type="default" r:id="rId7"/>
      <w:pgSz w:w="11906" w:h="16838"/>
      <w:pgMar w:top="1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D7" w:rsidRDefault="002151D7" w:rsidP="00C44325">
      <w:pPr>
        <w:spacing w:after="0" w:line="240" w:lineRule="auto"/>
      </w:pPr>
      <w:r>
        <w:separator/>
      </w:r>
    </w:p>
  </w:endnote>
  <w:endnote w:type="continuationSeparator" w:id="0">
    <w:p w:rsidR="002151D7" w:rsidRDefault="002151D7" w:rsidP="00C4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D7" w:rsidRDefault="002151D7" w:rsidP="00C44325">
      <w:pPr>
        <w:spacing w:after="0" w:line="240" w:lineRule="auto"/>
      </w:pPr>
      <w:r>
        <w:separator/>
      </w:r>
    </w:p>
  </w:footnote>
  <w:footnote w:type="continuationSeparator" w:id="0">
    <w:p w:rsidR="002151D7" w:rsidRDefault="002151D7" w:rsidP="00C4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25" w:rsidRDefault="00C44325" w:rsidP="00C44325">
    <w:pPr>
      <w:pStyle w:val="Encabezado"/>
      <w:jc w:val="center"/>
      <w:rPr>
        <w:b/>
        <w:sz w:val="32"/>
      </w:rPr>
    </w:pPr>
  </w:p>
  <w:p w:rsidR="00C44325" w:rsidRPr="00C44325" w:rsidRDefault="00C44325" w:rsidP="00C44325">
    <w:pPr>
      <w:pStyle w:val="Encabezado"/>
      <w:jc w:val="center"/>
      <w:rPr>
        <w:b/>
        <w:sz w:val="32"/>
      </w:rPr>
    </w:pPr>
    <w:r w:rsidRPr="00C44325">
      <w:rPr>
        <w:b/>
        <w:sz w:val="32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87F"/>
    <w:multiLevelType w:val="hybridMultilevel"/>
    <w:tmpl w:val="A4D2A9D6"/>
    <w:lvl w:ilvl="0" w:tplc="36FAA1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4B42"/>
    <w:multiLevelType w:val="hybridMultilevel"/>
    <w:tmpl w:val="BCB63E62"/>
    <w:lvl w:ilvl="0" w:tplc="280A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30545636"/>
    <w:multiLevelType w:val="hybridMultilevel"/>
    <w:tmpl w:val="603A1EF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961E89"/>
    <w:multiLevelType w:val="multilevel"/>
    <w:tmpl w:val="A0B25B40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>
    <w:nsid w:val="41D83F16"/>
    <w:multiLevelType w:val="hybridMultilevel"/>
    <w:tmpl w:val="DC869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49F1"/>
    <w:multiLevelType w:val="multilevel"/>
    <w:tmpl w:val="72AC8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DC6C0D"/>
    <w:multiLevelType w:val="hybridMultilevel"/>
    <w:tmpl w:val="15B87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0405"/>
    <w:multiLevelType w:val="hybridMultilevel"/>
    <w:tmpl w:val="C210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2"/>
    <w:rsid w:val="001A53EC"/>
    <w:rsid w:val="001C7A63"/>
    <w:rsid w:val="001F3BD7"/>
    <w:rsid w:val="002151D7"/>
    <w:rsid w:val="00356C8D"/>
    <w:rsid w:val="003E7240"/>
    <w:rsid w:val="00417971"/>
    <w:rsid w:val="0047284C"/>
    <w:rsid w:val="00497A5D"/>
    <w:rsid w:val="004C4E3C"/>
    <w:rsid w:val="007B0C62"/>
    <w:rsid w:val="008127CB"/>
    <w:rsid w:val="00990ADA"/>
    <w:rsid w:val="00AD6A9F"/>
    <w:rsid w:val="00BE6DC5"/>
    <w:rsid w:val="00C44325"/>
    <w:rsid w:val="00E76222"/>
    <w:rsid w:val="00E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1B9984-4E7F-4E5F-A872-5A018CC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22"/>
  </w:style>
  <w:style w:type="paragraph" w:styleId="Ttulo1">
    <w:name w:val="heading 1"/>
    <w:basedOn w:val="Normal"/>
    <w:next w:val="Normal"/>
    <w:link w:val="Ttulo1Car"/>
    <w:uiPriority w:val="9"/>
    <w:qFormat/>
    <w:rsid w:val="00E76222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="Arial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622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622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622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622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622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622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622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622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222"/>
    <w:pPr>
      <w:ind w:left="720"/>
      <w:contextualSpacing/>
    </w:pPr>
  </w:style>
  <w:style w:type="paragraph" w:customStyle="1" w:styleId="Default">
    <w:name w:val="Default"/>
    <w:rsid w:val="00E7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76222"/>
    <w:rPr>
      <w:rFonts w:ascii="Arial" w:eastAsiaTheme="majorEastAsia" w:hAnsi="Arial" w:cs="Arial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6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6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6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62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62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62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62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62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4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25"/>
  </w:style>
  <w:style w:type="paragraph" w:styleId="Piedepgina">
    <w:name w:val="footer"/>
    <w:basedOn w:val="Normal"/>
    <w:link w:val="PiedepginaCar"/>
    <w:uiPriority w:val="99"/>
    <w:unhideWhenUsed/>
    <w:rsid w:val="00C4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UGELTACNA</dc:creator>
  <cp:keywords/>
  <dc:description/>
  <cp:lastModifiedBy>UGELTACNA</cp:lastModifiedBy>
  <cp:revision>2</cp:revision>
  <dcterms:created xsi:type="dcterms:W3CDTF">2018-10-03T13:17:00Z</dcterms:created>
  <dcterms:modified xsi:type="dcterms:W3CDTF">2018-10-03T16:57:00Z</dcterms:modified>
</cp:coreProperties>
</file>